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D5" w:rsidRPr="009D46D5" w:rsidRDefault="009D46D5" w:rsidP="009D46D5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</w:pPr>
      <w:r w:rsidRPr="009D46D5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PRACTICAL ASPECTS OF THE SEROLOGICAL DIAGNOSIS</w:t>
      </w:r>
    </w:p>
    <w:p w:rsidR="00AB13EC" w:rsidRDefault="009D46D5" w:rsidP="009D46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9D46D5">
        <w:rPr>
          <w:rFonts w:ascii="Arial" w:eastAsia="Times New Roman" w:hAnsi="Arial" w:cs="Arial"/>
          <w:b/>
          <w:bCs/>
          <w:color w:val="336633"/>
          <w:kern w:val="36"/>
          <w:sz w:val="31"/>
          <w:szCs w:val="31"/>
          <w:lang w:val="en-US" w:eastAsia="ru-RU"/>
        </w:rPr>
        <w:t>OF SYPHILIS AT THE PRESENT STAGE</w:t>
      </w:r>
    </w:p>
    <w:tbl>
      <w:tblPr>
        <w:tblW w:w="12090" w:type="dxa"/>
        <w:tblInd w:w="386" w:type="dxa"/>
        <w:tblLook w:val="04A0" w:firstRow="1" w:lastRow="0" w:firstColumn="1" w:lastColumn="0" w:noHBand="0" w:noVBand="1"/>
      </w:tblPr>
      <w:tblGrid>
        <w:gridCol w:w="2100"/>
        <w:gridCol w:w="9990"/>
      </w:tblGrid>
      <w:tr w:rsidR="00AB13EC" w:rsidRPr="009D46D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 the author: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6D5" w:rsidRDefault="00651B62" w:rsidP="00EF6D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t xml:space="preserve">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Ya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F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Kutasevich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Kutova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уа,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O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Belokon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G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M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Bondarenko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. 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Nikitenko</w:t>
            </w:r>
            <w:r w:rsidR="009D46D5" w:rsidRPr="009D46D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, </w:t>
            </w:r>
          </w:p>
          <w:p w:rsidR="00AB13EC" w:rsidRPr="009D46D5" w:rsidRDefault="009D46D5" w:rsidP="00EF6D0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Y.V. Scherbakova, S.V. Unuchko</w:t>
            </w:r>
          </w:p>
        </w:tc>
      </w:tr>
      <w:bookmarkEnd w:id="0"/>
      <w:tr w:rsidR="00AB13EC" w:rsidRPr="009D46D5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Pr="009D46D5" w:rsidRDefault="009D46D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EPIDEMIOLOGICAL STUDIES AND HEALTHCARE ORGANIZATION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 of article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 article</w:t>
            </w:r>
          </w:p>
        </w:tc>
      </w:tr>
      <w:tr w:rsidR="00AB13EC" w:rsidRPr="00EF6D0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D46D5" w:rsidRPr="009D46D5" w:rsidRDefault="009D46D5" w:rsidP="009D46D5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Presented overview data about serological methods for laboratory diagnosis of syphilis at the present stage. The degree of information</w:t>
            </w:r>
          </w:p>
          <w:p w:rsidR="00AB13EC" w:rsidRDefault="009D46D5" w:rsidP="009D46D5">
            <w:pPr>
              <w:tabs>
                <w:tab w:val="left" w:pos="7941"/>
              </w:tabs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content</w:t>
            </w:r>
            <w:proofErr w:type="gramEnd"/>
            <w:r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used in Ukraine and abroad of nontreponemal and treponemal tests in the diagnosis of various forms of syphilis is analyzed</w:t>
            </w:r>
            <w:r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. </w:t>
            </w:r>
            <w:r w:rsidRPr="009D46D5">
              <w:rPr>
                <w:lang w:val="en-US"/>
              </w:rPr>
              <w:t xml:space="preserve"> </w:t>
            </w:r>
            <w:r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Practical aspects of examining patients for syphilis at various levels of medical care for the population are recommended in accordance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with the regulatory framework of the Ministry of Health of Ukraine.</w:t>
            </w:r>
          </w:p>
        </w:tc>
      </w:tr>
      <w:tr w:rsidR="00AB13EC" w:rsidRPr="00EF6D0D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9D46D5" w:rsidP="00EF6D0D">
            <w:pPr>
              <w:spacing w:after="0" w:line="240" w:lineRule="auto"/>
              <w:ind w:right="2403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syphilis, laboratory diagnostic methods, nontreponemal and treponemal tests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47DB5" w:rsidRDefault="009D46D5" w:rsidP="009D46D5">
            <w:pPr>
              <w:pStyle w:val="a3"/>
              <w:numPr>
                <w:ilvl w:val="0"/>
                <w:numId w:val="4"/>
              </w:numPr>
              <w:tabs>
                <w:tab w:val="left" w:pos="7153"/>
                <w:tab w:val="left" w:pos="7295"/>
              </w:tabs>
              <w:ind w:left="775" w:right="2261" w:hanging="1146"/>
              <w:rPr>
                <w:lang w:val="en-US" w:eastAsia="ru-RU"/>
              </w:rPr>
            </w:pPr>
            <w:r w:rsidRPr="009D46D5">
              <w:rPr>
                <w:lang w:eastAsia="ru-RU"/>
              </w:rPr>
              <w:t>1.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 xml:space="preserve"> Kutova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VV,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Volkoslavs’ka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VM,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Bіlokon’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OM,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Algoritm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obstezhennya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pac</w:t>
            </w:r>
            <w:r w:rsidRPr="009D46D5">
              <w:rPr>
                <w:lang w:eastAsia="ru-RU"/>
              </w:rPr>
              <w:t>іє</w:t>
            </w:r>
            <w:r w:rsidRPr="009D46D5">
              <w:rPr>
                <w:lang w:val="en-US" w:eastAsia="ru-RU"/>
              </w:rPr>
              <w:t>nt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metoyu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pervinnogo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viyavlennya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sa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umovah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soc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al’no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eastAsia="ru-RU"/>
              </w:rPr>
              <w:t> </w:t>
            </w:r>
            <w:proofErr w:type="gramStart"/>
            <w:r w:rsidRPr="009D46D5">
              <w:rPr>
                <w:lang w:val="en-US" w:eastAsia="ru-RU"/>
              </w:rPr>
              <w:t>nestab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l’nost</w:t>
            </w:r>
            <w:r w:rsidRPr="009D46D5">
              <w:rPr>
                <w:lang w:eastAsia="ru-RU"/>
              </w:rPr>
              <w:t>і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(An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algorithm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for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examination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patients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for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primary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detection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conditions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social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instability).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Zhurnal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dermatovenerolohiyi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ta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kosmetolohiyi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imeni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M.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O.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Torsuyeva.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2017;1(37):54–59.</w:t>
            </w:r>
            <w:r w:rsidRPr="009D46D5">
              <w:rPr>
                <w:lang w:eastAsia="ru-RU"/>
              </w:rPr>
              <w:br/>
              <w:t>2.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 xml:space="preserve"> </w:t>
            </w:r>
            <w:r w:rsidRPr="009D46D5">
              <w:rPr>
                <w:lang w:val="en-US" w:eastAsia="ru-RU"/>
              </w:rPr>
              <w:t>Kutova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VV,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Volkoslavs’ka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VM,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B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lokon’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OM.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Harakteristika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stanu,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resurs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laborator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j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dermatovenerolog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chnih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zaklad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v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yak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vikonuyut’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kompleks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standartnih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serolog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chnih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reakc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j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(Characteristics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status,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resources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laboratories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dermatological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venereological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institutions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that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perform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complex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standard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serological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reactions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venerolog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ya.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2017</w:t>
            </w:r>
            <w:proofErr w:type="gramStart"/>
            <w:r w:rsidRPr="009D46D5">
              <w:rPr>
                <w:lang w:val="en-US" w:eastAsia="ru-RU"/>
              </w:rPr>
              <w:t>;3</w:t>
            </w:r>
            <w:proofErr w:type="gramEnd"/>
            <w:r w:rsidRPr="009D46D5">
              <w:rPr>
                <w:lang w:val="en-US" w:eastAsia="ru-RU"/>
              </w:rPr>
              <w:t>(77):85–91.</w:t>
            </w:r>
            <w:r w:rsidRPr="009D46D5">
              <w:rPr>
                <w:lang w:val="en-US" w:eastAsia="ru-RU"/>
              </w:rPr>
              <w:br/>
              <w:t>3.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Katunin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GL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Rubcov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AB.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Ispol’zovanie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standartnyh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serologicheskih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metodov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issledovaniya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krovi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dlya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diagnostiki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skrytogo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pozdnego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sifilisa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use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standard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serological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methods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blood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testing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for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latent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late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Vestnik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dermatologii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venerologii.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2016</w:t>
            </w:r>
            <w:proofErr w:type="gramStart"/>
            <w:r w:rsidRPr="009D46D5">
              <w:rPr>
                <w:lang w:val="en-US" w:eastAsia="ru-RU"/>
              </w:rPr>
              <w:t>;3:69</w:t>
            </w:r>
            <w:proofErr w:type="gramEnd"/>
            <w:r w:rsidRPr="009D46D5">
              <w:rPr>
                <w:lang w:val="en-US" w:eastAsia="ru-RU"/>
              </w:rPr>
              <w:t>–74.</w:t>
            </w:r>
            <w:r w:rsidRPr="009D46D5">
              <w:rPr>
                <w:lang w:val="en-US" w:eastAsia="ru-RU"/>
              </w:rPr>
              <w:br/>
              <w:t>4.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Frigo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NV,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Rotanov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SV,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Manukyan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TV,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Laboratornaya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diagnostika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sifilisa: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vchera,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segodnya,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zavtra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(Laboratory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syphilis: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yesterday,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today,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tomorrow).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Vestnik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dermatologii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venerologii.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2012</w:t>
            </w:r>
            <w:proofErr w:type="gramStart"/>
            <w:r w:rsidRPr="009D46D5">
              <w:rPr>
                <w:lang w:val="en-US" w:eastAsia="ru-RU"/>
              </w:rPr>
              <w:t>;4:16</w:t>
            </w:r>
            <w:proofErr w:type="gramEnd"/>
            <w:r w:rsidRPr="009D46D5">
              <w:rPr>
                <w:lang w:val="en-US" w:eastAsia="ru-RU"/>
              </w:rPr>
              <w:t>–23.</w:t>
            </w:r>
            <w:r w:rsidRPr="009D46D5">
              <w:rPr>
                <w:lang w:val="en-US" w:eastAsia="ru-RU"/>
              </w:rPr>
              <w:br/>
              <w:t>5.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Laboratornaya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sluzhba.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Normativnye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dokumenty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–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laboratornaya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diagnostika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IPPP.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Sifilis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–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metodicheskie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ukazaniya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rekomendacii,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standarty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provedeniya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laboratornyh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issledovanij.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Sbornik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</w:r>
            <w:proofErr w:type="gramStart"/>
            <w:r w:rsidRPr="009D46D5">
              <w:rPr>
                <w:lang w:val="en-US" w:eastAsia="ru-RU"/>
              </w:rPr>
              <w:t>dokumentov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(Laboratory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service.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Regulatory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documents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–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STIs.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–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guidelines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recommendations,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standards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for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testing.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Collection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documents).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Moskva</w:t>
            </w:r>
            <w:proofErr w:type="gramStart"/>
            <w:r w:rsidRPr="009D46D5">
              <w:rPr>
                <w:lang w:val="en-US" w:eastAsia="ru-RU"/>
              </w:rPr>
              <w:t>: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Yzd-vo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RAMLD,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2010.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272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</w:t>
            </w:r>
            <w:proofErr w:type="gramStart"/>
            <w:r w:rsidRPr="009D46D5">
              <w:rPr>
                <w:lang w:val="en-US" w:eastAsia="ru-RU"/>
              </w:rPr>
              <w:t>.</w:t>
            </w:r>
            <w:proofErr w:type="gramEnd"/>
            <w:r w:rsidRPr="009D46D5">
              <w:rPr>
                <w:lang w:val="en-US" w:eastAsia="ru-RU"/>
              </w:rPr>
              <w:br/>
              <w:t>6.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Nakaz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val="en-US" w:eastAsia="ru-RU"/>
              </w:rPr>
              <w:t>ni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204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29.12.1992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«Pro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organ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zac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yu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laboratorno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agnostiki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su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val="en-US" w:eastAsia="ru-RU"/>
              </w:rPr>
              <w:t>n</w:t>
            </w:r>
            <w:r w:rsidRPr="009D46D5">
              <w:rPr>
                <w:lang w:eastAsia="ru-RU"/>
              </w:rPr>
              <w:t>і</w:t>
            </w:r>
            <w:proofErr w:type="gramStart"/>
            <w:r w:rsidRPr="009D46D5">
              <w:rPr>
                <w:lang w:val="en-US" w:eastAsia="ru-RU"/>
              </w:rPr>
              <w:t>»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(z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zm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nami,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vnesenimi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zg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dno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Nakazom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21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3.01.97)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(Order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Ministry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Health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Ukraine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204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dated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December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29,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1992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Organization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Ukraine»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(as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amended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accordance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with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Order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Ministry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Health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21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dated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January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3,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1997)].</w:t>
            </w:r>
            <w:r w:rsidRPr="009D46D5">
              <w:rPr>
                <w:lang w:val="en-US" w:eastAsia="ru-RU"/>
              </w:rPr>
              <w:br/>
              <w:t>7.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Nakaz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val="en-US" w:eastAsia="ru-RU"/>
              </w:rPr>
              <w:t>ni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286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07.06.2004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«Pro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udoskonalennya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dermato-venerolog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chno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dopomogi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naselennyu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val="en-US" w:eastAsia="ru-RU"/>
              </w:rPr>
              <w:t>ni</w:t>
            </w:r>
            <w:proofErr w:type="gramStart"/>
            <w:r w:rsidRPr="009D46D5">
              <w:rPr>
                <w:lang w:val="en-US" w:eastAsia="ru-RU"/>
              </w:rPr>
              <w:t>»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(Order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lastRenderedPageBreak/>
              <w:t>Ministry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Health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Ukraine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286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June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7,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2004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improving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dermatological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venereological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assistance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population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Ukraine»).</w:t>
            </w:r>
            <w:r w:rsidRPr="009D46D5">
              <w:rPr>
                <w:lang w:val="en-US" w:eastAsia="ru-RU"/>
              </w:rPr>
              <w:br/>
              <w:t>8.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Nakaz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val="en-US" w:eastAsia="ru-RU"/>
              </w:rPr>
              <w:t>ni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769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23.10.2009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«Pro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zatverdzhennya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kl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n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chnogo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protokolu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nadannya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medichno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dopomogi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tyam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dozroyu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vrodzhenij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s</w:t>
            </w:r>
            <w:proofErr w:type="gramStart"/>
            <w:r w:rsidRPr="009D46D5">
              <w:rPr>
                <w:lang w:val="en-US" w:eastAsia="ru-RU"/>
              </w:rPr>
              <w:t>»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(Order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Ministry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Health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Ukraine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769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October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23,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2009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approval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clinical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protocol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for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providing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medical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assistance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children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suspected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congenital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syphilis»).</w:t>
            </w:r>
            <w:r w:rsidRPr="009D46D5">
              <w:rPr>
                <w:lang w:val="en-US" w:eastAsia="ru-RU"/>
              </w:rPr>
              <w:br/>
              <w:t>9.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Nakaz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MOZ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Ukra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val="en-US" w:eastAsia="ru-RU"/>
              </w:rPr>
              <w:t>ni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997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v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22.11.2013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Metodichn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rekomendac</w:t>
            </w:r>
            <w:r w:rsidRPr="009D46D5">
              <w:rPr>
                <w:lang w:eastAsia="ru-RU"/>
              </w:rPr>
              <w:t>ії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«Suchasn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p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dhodi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laboratorno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agnostiki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su</w:t>
            </w:r>
            <w:proofErr w:type="gramStart"/>
            <w:r w:rsidRPr="009D46D5">
              <w:rPr>
                <w:lang w:val="en-US" w:eastAsia="ru-RU"/>
              </w:rPr>
              <w:t>»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(Order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Ministry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Health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Ukraine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997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dated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November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22,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2013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Methodical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Recommendations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«Modern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Approaches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Syphilis»).</w:t>
            </w:r>
            <w:r w:rsidRPr="009D46D5">
              <w:rPr>
                <w:lang w:val="en-US" w:eastAsia="ru-RU"/>
              </w:rPr>
              <w:br/>
              <w:t>10.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Nakaz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val="en-US" w:eastAsia="ru-RU"/>
              </w:rPr>
              <w:t>ni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133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19.07.1995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«Pro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zatverdzhennya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Perel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ku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osoblivo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nebezpechnih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nfekc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jnih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parazitarnih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hvorob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lyudini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nos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jstva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zbudnik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hvorob</w:t>
            </w:r>
            <w:proofErr w:type="gramStart"/>
            <w:r w:rsidRPr="009D46D5">
              <w:rPr>
                <w:lang w:val="en-US" w:eastAsia="ru-RU"/>
              </w:rPr>
              <w:t>»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(Order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Ministry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Health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Ukraine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133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July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19,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1995.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approval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List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particularly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dangerous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infectious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parasitic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diseases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man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carrier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pathogens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these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diseases»).</w:t>
            </w:r>
            <w:r w:rsidRPr="009D46D5">
              <w:rPr>
                <w:lang w:val="en-US" w:eastAsia="ru-RU"/>
              </w:rPr>
              <w:br/>
              <w:t>11.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Postanova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Kabineta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Mynystriv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Ukrayiny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157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vid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21.02.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2001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«Deyaki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pytannya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reyestratsiyi,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obliku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ta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zvitnosti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shchodo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infektsiynykh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khvorob»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(Decree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Cabinet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Ministers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Ukraine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157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21.02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.2001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«Some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issues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registration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accounting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reporting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infectious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diseases»).</w:t>
            </w:r>
            <w:r w:rsidRPr="009D46D5">
              <w:rPr>
                <w:lang w:val="en-US" w:eastAsia="ru-RU"/>
              </w:rPr>
              <w:br/>
              <w:t>12.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Kutova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VV,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Bilokon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OM,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Nikitenko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IM,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Rol’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netreponemnih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laboratornih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metod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dosl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dzhennya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agnostic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tichno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eastAsia="ru-RU"/>
              </w:rPr>
              <w:t> </w:t>
            </w:r>
            <w:proofErr w:type="gramStart"/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nfekc</w:t>
            </w:r>
            <w:r w:rsidRPr="009D46D5">
              <w:rPr>
                <w:lang w:eastAsia="ru-RU"/>
              </w:rPr>
              <w:t>ії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role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non-repetitive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research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methods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syphilitic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infection).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venerolog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ya.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2016</w:t>
            </w:r>
            <w:proofErr w:type="gramStart"/>
            <w:r w:rsidRPr="009D46D5">
              <w:rPr>
                <w:lang w:val="en-US" w:eastAsia="ru-RU"/>
              </w:rPr>
              <w:t>;2</w:t>
            </w:r>
            <w:proofErr w:type="gramEnd"/>
            <w:r w:rsidRPr="009D46D5">
              <w:rPr>
                <w:lang w:val="en-US" w:eastAsia="ru-RU"/>
              </w:rPr>
              <w:t>(72):34–39.</w:t>
            </w:r>
            <w:r w:rsidRPr="009D46D5">
              <w:rPr>
                <w:lang w:val="en-US" w:eastAsia="ru-RU"/>
              </w:rPr>
              <w:br/>
              <w:t>13.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Bondarenko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GM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Unuchko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SV,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Nikitenko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Sifilis: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sovremennoe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sostoyanie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problemy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(Syphilis: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current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status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problem).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venerolog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ya.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2018</w:t>
            </w:r>
            <w:proofErr w:type="gramStart"/>
            <w:r w:rsidRPr="009D46D5">
              <w:rPr>
                <w:lang w:val="en-US" w:eastAsia="ru-RU"/>
              </w:rPr>
              <w:t>;1</w:t>
            </w:r>
            <w:proofErr w:type="gramEnd"/>
            <w:r w:rsidRPr="009D46D5">
              <w:rPr>
                <w:lang w:val="en-US" w:eastAsia="ru-RU"/>
              </w:rPr>
              <w:t>(79):8–12.</w:t>
            </w:r>
            <w:r w:rsidRPr="009D46D5">
              <w:rPr>
                <w:lang w:val="en-US" w:eastAsia="ru-RU"/>
              </w:rPr>
              <w:br/>
              <w:t>14.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Litus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OI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Kutova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VV,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Bilokon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Suchasn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mozhlivost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serolog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chno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agnostiki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su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(por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vnyal’nij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anal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z)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(Current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possibilities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serological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(comparative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analysis).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Dermatolog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venerolog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ya.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2013</w:t>
            </w:r>
            <w:proofErr w:type="gramStart"/>
            <w:r w:rsidRPr="009D46D5">
              <w:rPr>
                <w:lang w:val="en-US" w:eastAsia="ru-RU"/>
              </w:rPr>
              <w:t>;4</w:t>
            </w:r>
            <w:proofErr w:type="gramEnd"/>
            <w:r w:rsidRPr="009D46D5">
              <w:rPr>
                <w:lang w:val="en-US" w:eastAsia="ru-RU"/>
              </w:rPr>
              <w:t>(62):34–43.</w:t>
            </w:r>
            <w:r w:rsidRPr="009D46D5">
              <w:rPr>
                <w:lang w:val="en-US" w:eastAsia="ru-RU"/>
              </w:rPr>
              <w:br/>
              <w:t>15.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Kutasevich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YaF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tus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Kutova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VV,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et.al.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Udoskonalennya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laboratorno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val="en-US" w:eastAsia="ru-RU"/>
              </w:rPr>
              <w:t>agnostiki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sifilisu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</w:t>
            </w:r>
            <w:r w:rsidRPr="009D46D5">
              <w:rPr>
                <w:lang w:eastAsia="ru-RU"/>
              </w:rPr>
              <w:t> </w:t>
            </w:r>
            <w:proofErr w:type="gramStart"/>
            <w:r w:rsidRPr="009D46D5">
              <w:rPr>
                <w:lang w:val="en-US" w:eastAsia="ru-RU"/>
              </w:rPr>
              <w:t>Ukra</w:t>
            </w:r>
            <w:r w:rsidRPr="009D46D5">
              <w:rPr>
                <w:lang w:eastAsia="ru-RU"/>
              </w:rPr>
              <w:t>ї</w:t>
            </w:r>
            <w:r w:rsidRPr="009D46D5">
              <w:rPr>
                <w:lang w:val="en-US" w:eastAsia="ru-RU"/>
              </w:rPr>
              <w:t>n</w:t>
            </w:r>
            <w:r w:rsidRPr="009D46D5">
              <w:rPr>
                <w:lang w:eastAsia="ru-RU"/>
              </w:rPr>
              <w:t>і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(metodichn</w:t>
            </w:r>
            <w:r w:rsidRPr="009D46D5">
              <w:rPr>
                <w:lang w:eastAsia="ru-RU"/>
              </w:rPr>
              <w:t>і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rekomendac</w:t>
            </w:r>
            <w:r w:rsidRPr="009D46D5">
              <w:rPr>
                <w:lang w:eastAsia="ru-RU"/>
              </w:rPr>
              <w:t>ії</w:t>
            </w:r>
            <w:r w:rsidRPr="009D46D5">
              <w:rPr>
                <w:lang w:val="en-US" w:eastAsia="ru-RU"/>
              </w:rPr>
              <w:t>)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(Improvement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diagnostics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Ukraine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(guidelines).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Kiev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2019.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28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</w:t>
            </w:r>
            <w:proofErr w:type="gramStart"/>
            <w:r w:rsidRPr="009D46D5">
              <w:rPr>
                <w:lang w:val="en-US" w:eastAsia="ru-RU"/>
              </w:rPr>
              <w:t>.</w:t>
            </w:r>
            <w:proofErr w:type="gramEnd"/>
            <w:r w:rsidRPr="009D46D5">
              <w:rPr>
                <w:lang w:val="en-US" w:eastAsia="ru-RU"/>
              </w:rPr>
              <w:br/>
              <w:t>16.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Costa-Silva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Coutinho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Sobrinho-Simões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J,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Cross-sectional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study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Treponema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pallidum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PCR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primary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secondary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Int</w:t>
            </w:r>
            <w:proofErr w:type="gramStart"/>
            <w:r w:rsidRPr="009D46D5">
              <w:rPr>
                <w:lang w:val="en-US" w:eastAsia="ru-RU"/>
              </w:rPr>
              <w:t>.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J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2018</w:t>
            </w:r>
            <w:proofErr w:type="gramStart"/>
            <w:r w:rsidRPr="009D46D5">
              <w:rPr>
                <w:lang w:val="en-US" w:eastAsia="ru-RU"/>
              </w:rPr>
              <w:t>;57</w:t>
            </w:r>
            <w:proofErr w:type="gramEnd"/>
            <w:r w:rsidRPr="009D46D5">
              <w:rPr>
                <w:lang w:val="en-US" w:eastAsia="ru-RU"/>
              </w:rPr>
              <w:t>(1);46–49.</w:t>
            </w:r>
            <w:r w:rsidRPr="009D46D5">
              <w:rPr>
                <w:lang w:eastAsia="ru-RU"/>
              </w:rPr>
              <w:t> </w:t>
            </w:r>
            <w:proofErr w:type="gramStart"/>
            <w:r w:rsidRPr="009D46D5">
              <w:rPr>
                <w:lang w:val="en-US" w:eastAsia="ru-RU"/>
              </w:rPr>
              <w:t>doi</w:t>
            </w:r>
            <w:proofErr w:type="gramEnd"/>
            <w:r w:rsidRPr="009D46D5">
              <w:rPr>
                <w:lang w:val="en-US" w:eastAsia="ru-RU"/>
              </w:rPr>
              <w:t>: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10.1111/ijd.13823.</w:t>
            </w:r>
            <w:r w:rsidRPr="009D46D5">
              <w:rPr>
                <w:lang w:val="en-US" w:eastAsia="ru-RU"/>
              </w:rPr>
              <w:br/>
              <w:t>17.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Bazzo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ML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Motta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LR,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Rudolf-Oliveira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RCM,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Evaluation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seven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rapid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tests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for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available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Brazil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using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defibrinated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plasma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panels.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Sex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Transm.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Infect.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2017</w:t>
            </w:r>
            <w:proofErr w:type="gramStart"/>
            <w:r w:rsidRPr="009D46D5">
              <w:rPr>
                <w:lang w:val="en-US" w:eastAsia="ru-RU"/>
              </w:rPr>
              <w:t>;93:46</w:t>
            </w:r>
            <w:proofErr w:type="gramEnd"/>
            <w:r w:rsidRPr="009D46D5">
              <w:rPr>
                <w:lang w:val="en-US" w:eastAsia="ru-RU"/>
              </w:rPr>
              <w:t>–50.</w:t>
            </w:r>
            <w:r w:rsidRPr="009D46D5">
              <w:rPr>
                <w:lang w:val="en-US" w:eastAsia="ru-RU"/>
              </w:rPr>
              <w:br/>
              <w:t>18.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Sanfilippo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AM,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Freeman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K,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Schmitz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J</w:t>
            </w:r>
            <w:proofErr w:type="gramStart"/>
            <w:r w:rsidRPr="009D46D5">
              <w:rPr>
                <w:lang w:val="en-US" w:eastAsia="ru-RU"/>
              </w:rPr>
              <w:t>.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Comparison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Manual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Fully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Automated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AIX1000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Rapid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Plasma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Reagin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Assays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for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Laboratory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Syphilis.</w:t>
            </w:r>
            <w:r w:rsidRPr="009D46D5">
              <w:rPr>
                <w:lang w:eastAsia="ru-RU"/>
              </w:rPr>
              <w:t> </w:t>
            </w:r>
            <w:proofErr w:type="gramStart"/>
            <w:r w:rsidRPr="009D46D5">
              <w:rPr>
                <w:lang w:val="en-US" w:eastAsia="ru-RU"/>
              </w:rPr>
              <w:t>J.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Clin.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Microbiol.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2018</w:t>
            </w:r>
            <w:proofErr w:type="gramStart"/>
            <w:r w:rsidRPr="009D46D5">
              <w:rPr>
                <w:lang w:val="en-US" w:eastAsia="ru-RU"/>
              </w:rPr>
              <w:t>.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Apr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4.</w:t>
            </w:r>
            <w:r w:rsidRPr="009D46D5">
              <w:rPr>
                <w:lang w:eastAsia="ru-RU"/>
              </w:rPr>
              <w:t> </w:t>
            </w:r>
            <w:proofErr w:type="gramStart"/>
            <w:r w:rsidRPr="009D46D5">
              <w:rPr>
                <w:lang w:val="en-US" w:eastAsia="ru-RU"/>
              </w:rPr>
              <w:t>pii</w:t>
            </w:r>
            <w:proofErr w:type="gramEnd"/>
            <w:r w:rsidRPr="009D46D5">
              <w:rPr>
                <w:lang w:val="en-US" w:eastAsia="ru-RU"/>
              </w:rPr>
              <w:t>: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JCM.00214–18.</w:t>
            </w:r>
            <w:r w:rsidRPr="009D46D5">
              <w:rPr>
                <w:lang w:eastAsia="ru-RU"/>
              </w:rPr>
              <w:t> </w:t>
            </w:r>
            <w:proofErr w:type="gramStart"/>
            <w:r w:rsidRPr="009D46D5">
              <w:rPr>
                <w:lang w:val="en-US" w:eastAsia="ru-RU"/>
              </w:rPr>
              <w:t>doi</w:t>
            </w:r>
            <w:proofErr w:type="gramEnd"/>
            <w:r w:rsidRPr="009D46D5">
              <w:rPr>
                <w:lang w:val="en-US" w:eastAsia="ru-RU"/>
              </w:rPr>
              <w:t>: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10.1128/JCM.00214–18.</w:t>
            </w:r>
            <w:r w:rsidRPr="009D46D5">
              <w:rPr>
                <w:lang w:val="en-US" w:eastAsia="ru-RU"/>
              </w:rPr>
              <w:br/>
              <w:t>19.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Bopage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RI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Vollmer-Conna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Shand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AW,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Sex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differences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lastRenderedPageBreak/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significance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isolated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reactive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treponemal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chemiluminescence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immunoassay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results.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Sex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Transm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Infect.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2017</w:t>
            </w:r>
            <w:proofErr w:type="gramStart"/>
            <w:r w:rsidRPr="009D46D5">
              <w:rPr>
                <w:lang w:val="en-US" w:eastAsia="ru-RU"/>
              </w:rPr>
              <w:t>;l.0</w:t>
            </w:r>
            <w:proofErr w:type="gramEnd"/>
            <w:r w:rsidRPr="009D46D5">
              <w:rPr>
                <w:lang w:val="en-US" w:eastAsia="ru-RU"/>
              </w:rPr>
              <w:t>(1–5).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Doi</w:t>
            </w:r>
            <w:proofErr w:type="gramStart"/>
            <w:r w:rsidRPr="009D46D5">
              <w:rPr>
                <w:lang w:val="en-US" w:eastAsia="ru-RU"/>
              </w:rPr>
              <w:t>: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10.1136/sextrans-2017–053284.</w:t>
            </w:r>
            <w:r w:rsidRPr="009D46D5">
              <w:rPr>
                <w:lang w:val="en-US" w:eastAsia="ru-RU"/>
              </w:rPr>
              <w:br/>
              <w:t>20.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Watts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PJ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Greenberg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HL,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Khachemoune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Unusual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primary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syphilis: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Presentation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likely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case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with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review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stages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acquired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its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differential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diagnoses,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management,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current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recommendations.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J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Dermatol.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2016</w:t>
            </w:r>
            <w:proofErr w:type="gramStart"/>
            <w:r w:rsidRPr="009D46D5">
              <w:rPr>
                <w:lang w:val="en-US" w:eastAsia="ru-RU"/>
              </w:rPr>
              <w:t>;55:714</w:t>
            </w:r>
            <w:proofErr w:type="gramEnd"/>
            <w:r w:rsidRPr="009D46D5">
              <w:rPr>
                <w:lang w:val="en-US" w:eastAsia="ru-RU"/>
              </w:rPr>
              <w:t>–28.</w:t>
            </w:r>
            <w:r w:rsidRPr="009D46D5">
              <w:rPr>
                <w:lang w:val="en-US" w:eastAsia="ru-RU"/>
              </w:rPr>
              <w:br/>
              <w:t>21.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 xml:space="preserve"> Kenyon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</w:t>
            </w:r>
            <w:proofErr w:type="gramStart"/>
            <w:r w:rsidRPr="009D46D5">
              <w:rPr>
                <w:lang w:val="en-US" w:eastAsia="ru-RU"/>
              </w:rPr>
              <w:t>,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Osbak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K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K,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Van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Esbroek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M,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et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al.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What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Role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Paired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Rapid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Plasma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Reagin</w:t>
            </w:r>
            <w:r w:rsidRPr="009D46D5">
              <w:rPr>
                <w:lang w:eastAsia="ru-RU"/>
              </w:rPr>
              <w:t> </w:t>
            </w:r>
            <w:proofErr w:type="gramStart"/>
            <w:r w:rsidRPr="009D46D5">
              <w:rPr>
                <w:lang w:val="en-US" w:eastAsia="ru-RU"/>
              </w:rPr>
              <w:t>Testing</w:t>
            </w:r>
            <w:proofErr w:type="gramEnd"/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(Simultaneous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Testing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Acute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Convalescent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Samples)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in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Diagnosis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Repeat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br/>
              <w:t>and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the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Follow-up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of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Syphilis?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Sexually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Transmitted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Diseases.</w:t>
            </w:r>
            <w:r w:rsidRPr="009D46D5">
              <w:rPr>
                <w:lang w:eastAsia="ru-RU"/>
              </w:rPr>
              <w:t> </w:t>
            </w:r>
            <w:r w:rsidRPr="009D46D5">
              <w:rPr>
                <w:lang w:val="en-US" w:eastAsia="ru-RU"/>
              </w:rPr>
              <w:t>2018</w:t>
            </w:r>
            <w:proofErr w:type="gramStart"/>
            <w:r w:rsidRPr="009D46D5">
              <w:rPr>
                <w:lang w:val="en-US" w:eastAsia="ru-RU"/>
              </w:rPr>
              <w:t>;45</w:t>
            </w:r>
            <w:proofErr w:type="gramEnd"/>
            <w:r w:rsidRPr="009D46D5">
              <w:rPr>
                <w:lang w:val="en-US" w:eastAsia="ru-RU"/>
              </w:rPr>
              <w:t>(1):35–38.</w:t>
            </w:r>
          </w:p>
        </w:tc>
      </w:tr>
      <w:tr w:rsidR="00AB13EC" w:rsidRPr="001C35C6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lastRenderedPageBreak/>
              <w:t>Publication of the article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AB13EC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VENEREOLOGY» №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(8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), 20</w:t>
            </w:r>
            <w:r w:rsidR="001C35C6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year,</w:t>
            </w:r>
            <w:r w:rsidR="00EA5732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 w:rsidR="005706B1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5706B1" w:rsidRP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4</w:t>
            </w:r>
            <w:r w:rsidR="009D46D5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AB13EC" w:rsidRDefault="00AB13EC" w:rsidP="009353F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9353F9" w:rsidRPr="009353F9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 xml:space="preserve"> </w:t>
            </w:r>
            <w:r w:rsidR="005706B1" w:rsidRPr="005706B1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616.972–078.33</w:t>
            </w:r>
          </w:p>
        </w:tc>
      </w:tr>
      <w:tr w:rsidR="00AB13EC" w:rsidTr="00AB13EC">
        <w:tc>
          <w:tcPr>
            <w:tcW w:w="2100" w:type="dxa"/>
            <w:tcBorders>
              <w:top w:val="nil"/>
              <w:left w:val="nil"/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13EC" w:rsidRPr="001C35C6" w:rsidRDefault="00AB13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</w:pPr>
            <w:r w:rsidRPr="001C35C6">
              <w:rPr>
                <w:rFonts w:ascii="Arial" w:eastAsia="Times New Roman" w:hAnsi="Arial" w:cs="Arial"/>
                <w:b/>
                <w:bCs/>
                <w:sz w:val="19"/>
                <w:szCs w:val="19"/>
                <w:lang w:val="en-US" w:eastAsia="ru-RU"/>
              </w:rPr>
              <w:t>DOI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8A8A8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B13EC" w:rsidRDefault="005706B1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5706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10.33743/2308-1066-2020-1-39-43</w:t>
            </w:r>
          </w:p>
        </w:tc>
      </w:tr>
    </w:tbl>
    <w:p w:rsidR="003C39BF" w:rsidRDefault="003C39BF"/>
    <w:sectPr w:rsidR="003C3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C-Oblique">
    <w:altName w:val="Times New Roman"/>
    <w:panose1 w:val="00000000000000000000"/>
    <w:charset w:val="00"/>
    <w:family w:val="roman"/>
    <w:notTrueType/>
    <w:pitch w:val="default"/>
  </w:font>
  <w:font w:name="PragmaticaC-BoldObliq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BF56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04E3F"/>
    <w:multiLevelType w:val="hybridMultilevel"/>
    <w:tmpl w:val="44445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A20AA"/>
    <w:multiLevelType w:val="hybridMultilevel"/>
    <w:tmpl w:val="876807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53"/>
    <w:rsid w:val="00117853"/>
    <w:rsid w:val="001C35C6"/>
    <w:rsid w:val="001F0A45"/>
    <w:rsid w:val="00240963"/>
    <w:rsid w:val="00263560"/>
    <w:rsid w:val="002F288D"/>
    <w:rsid w:val="00302E20"/>
    <w:rsid w:val="003C39BF"/>
    <w:rsid w:val="00447882"/>
    <w:rsid w:val="00552B83"/>
    <w:rsid w:val="005706B1"/>
    <w:rsid w:val="00651B62"/>
    <w:rsid w:val="00664453"/>
    <w:rsid w:val="006F2AB4"/>
    <w:rsid w:val="007509C7"/>
    <w:rsid w:val="00790384"/>
    <w:rsid w:val="00822C09"/>
    <w:rsid w:val="009353F9"/>
    <w:rsid w:val="009840E7"/>
    <w:rsid w:val="009D46D5"/>
    <w:rsid w:val="009F2339"/>
    <w:rsid w:val="00A13F73"/>
    <w:rsid w:val="00A47DB5"/>
    <w:rsid w:val="00AB13EC"/>
    <w:rsid w:val="00AB5E62"/>
    <w:rsid w:val="00AD7B9C"/>
    <w:rsid w:val="00B74B42"/>
    <w:rsid w:val="00C630FA"/>
    <w:rsid w:val="00D51BEB"/>
    <w:rsid w:val="00EA5732"/>
    <w:rsid w:val="00E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3E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B74B42"/>
    <w:rPr>
      <w:rFonts w:ascii="PragmaticaC-Oblique" w:hAnsi="PragmaticaC-Oblique" w:hint="default"/>
      <w:b w:val="0"/>
      <w:bCs w:val="0"/>
      <w:i/>
      <w:iCs/>
      <w:color w:val="000000"/>
      <w:sz w:val="16"/>
      <w:szCs w:val="16"/>
    </w:rPr>
  </w:style>
  <w:style w:type="character" w:customStyle="1" w:styleId="fontstyle21">
    <w:name w:val="fontstyle21"/>
    <w:basedOn w:val="a0"/>
    <w:rsid w:val="00B74B42"/>
    <w:rPr>
      <w:rFonts w:ascii="PragmaticaC-BoldOblique" w:hAnsi="PragmaticaC-BoldOblique" w:hint="default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3</cp:revision>
  <dcterms:created xsi:type="dcterms:W3CDTF">2020-05-15T11:44:00Z</dcterms:created>
  <dcterms:modified xsi:type="dcterms:W3CDTF">2020-05-15T11:53:00Z</dcterms:modified>
</cp:coreProperties>
</file>