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4A" w:rsidRPr="00083D31" w:rsidRDefault="00083D31" w:rsidP="00083D31">
      <w:pPr>
        <w:spacing w:after="0" w:line="240" w:lineRule="auto"/>
        <w:rPr>
          <w:rFonts w:ascii="Arial" w:eastAsia="Times New Roman" w:hAnsi="Arial" w:cs="Arial"/>
          <w:b/>
          <w:bCs/>
          <w:color w:val="336633"/>
          <w:kern w:val="36"/>
          <w:sz w:val="32"/>
          <w:szCs w:val="31"/>
          <w:lang w:val="en-US" w:eastAsia="ru-RU"/>
        </w:rPr>
      </w:pPr>
      <w:r w:rsidRPr="00083D31">
        <w:rPr>
          <w:rFonts w:ascii="Arial" w:eastAsia="Times New Roman" w:hAnsi="Arial" w:cs="Arial"/>
          <w:b/>
          <w:bCs/>
          <w:color w:val="336633"/>
          <w:kern w:val="36"/>
          <w:sz w:val="32"/>
          <w:szCs w:val="31"/>
          <w:lang w:val="en-US" w:eastAsia="ru-RU"/>
        </w:rPr>
        <w:t>NON-INVASIVE INSTRUMENTAL METHODS FOR EVALUATING THE STRUCTURAL AND FUNCTIONAL BASIS OF SKIN AGING</w:t>
      </w:r>
    </w:p>
    <w:p w:rsidR="00BB1F4A" w:rsidRPr="0024618F" w:rsidRDefault="00BB1F4A" w:rsidP="00BB1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2090" w:type="dxa"/>
        <w:tblInd w:w="38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9990"/>
      </w:tblGrid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About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author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Pr="0024618F" w:rsidRDefault="00A71E3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A.V. </w:t>
            </w:r>
            <w:bookmarkStart w:id="0" w:name="_GoBack"/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Tsepkolenko</w:t>
            </w:r>
            <w:bookmarkEnd w:id="0"/>
            <w:proofErr w:type="spellEnd"/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Heading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13688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CLINICAL OBSERVATIONS</w:t>
            </w:r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Type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Scentific</w:t>
            </w:r>
            <w:proofErr w:type="spellEnd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article</w:t>
            </w:r>
            <w:proofErr w:type="spellEnd"/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Annotation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Objective. To characterize the development of dermal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involutional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-dystrophic changes </w:t>
            </w:r>
          </w:p>
          <w:p w:rsidR="00A71E3C" w:rsidRP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using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non-invasive instrumental methods.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Materials and methods. 4 groups of patients with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involutional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changes were examined: 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25–35, 36–45, 46–55, 56 years and older, as well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as a group aged 25–35 years, in which 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patients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had no signs of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chrono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- and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photoaging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. The skin condition was studied by 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ultrasonographic</w:t>
            </w:r>
            <w:proofErr w:type="spellEnd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measurement of the epidermis and dermis thickness, the skin acoustic </w:t>
            </w:r>
          </w:p>
          <w:p w:rsidR="00A71E3C" w:rsidRP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density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as well as conducting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corneometry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and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vaporimetry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.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Results and conclusions.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Involutional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-dystrophic changes in the skin are accompanied by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pronounced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age-related changes in structural and functional parameters. There is 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 significant thinning of the epidermis and dermis, a decrease in acoustic density and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indicators of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corneometry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as well as a significant increase in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transepidermal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water loss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patients with age. Significant age-related changes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 parameters are detected already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in</w:t>
            </w:r>
            <w:proofErr w:type="gram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the group of patients of 36–45 years old. This indicates that objective tissue signs of</w:t>
            </w:r>
          </w:p>
          <w:p w:rsidR="00A71E3C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proofErr w:type="gram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dystrophy</w:t>
            </w:r>
            <w:proofErr w:type="gramEnd"/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appear much earlier than clinically expressed. Timely instrumental examination </w:t>
            </w:r>
          </w:p>
          <w:p w:rsidR="00BB1F4A" w:rsidRPr="0024618F" w:rsidRDefault="00A71E3C" w:rsidP="00A71E3C">
            <w:pPr>
              <w:tabs>
                <w:tab w:val="left" w:pos="7941"/>
                <w:tab w:val="left" w:pos="8083"/>
              </w:tabs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can increase the effectiveness of anti-aging therapy</w:t>
            </w:r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Tags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Pr="0024618F" w:rsidRDefault="00A71E3C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skin aging, ultrasonography,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corneometry</w:t>
            </w:r>
            <w:proofErr w:type="spellEnd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, </w:t>
            </w:r>
            <w:proofErr w:type="spellStart"/>
            <w:r w:rsidRPr="00A71E3C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vaporimetry</w:t>
            </w:r>
            <w:proofErr w:type="spellEnd"/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Bibliography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83D31" w:rsidRP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Gaidash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NV</w:t>
            </w:r>
            <w:r w:rsidRPr="00083D3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Korrektsiya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involyutivnyih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izmeneniy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u</w:t>
            </w:r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zhenschin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kombinirovannyim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metodom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ispolzovaniem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fraktsionnogo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fototermoliza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biorevitalizatsii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[Correction of involuntary skin changes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in women by a combined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method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fractional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photothermolysis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biorevitalization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]. Extended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abstract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PhD dissertation. Krasnoyarsk State Medical University. Moscow, 2011.</w:t>
            </w:r>
          </w:p>
          <w:p w:rsidR="00083D31" w:rsidRP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Dzhiatcinto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L.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Paradigma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zaprogrammirovannogo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stareniia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kak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my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stareem</w:t>
            </w:r>
            <w:proofErr w:type="spellEnd"/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Obzor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) [The paradigm of programmed aging: how we age (Overview)].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Biokhimiia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2014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;79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(10):1237–1251.</w:t>
            </w:r>
          </w:p>
          <w:p w:rsidR="00083D31" w:rsidRP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Zolotenkova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GV,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Tkachenko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SB,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Pigolkin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IuI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Sovremennye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neinvazivnye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metody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otcenki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vozrastnykh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izmenenii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[Modern non-invasive methods for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assessing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age-related skin changes].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Sudebno-meditcinskaia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ekspertiza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2015;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58(1):26–30.</w:t>
            </w:r>
          </w:p>
          <w:p w:rsidR="00083D31" w:rsidRP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Ivanova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EV.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Patogeneticheskoe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obosnovanie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primeneniya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kislorodno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ozonovoy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smesi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korrektsii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vozrastnyih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izmeneniy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Pathogenetic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justification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oxygen-ozone mixture in correcting age-related skin changes]. Extended abstract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PhD dissertation. Moscow Medical Academy. Moscow, 2007.</w:t>
            </w:r>
          </w:p>
          <w:p w:rsidR="00083D31" w:rsidRP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Mirzoeva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PN.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Korrektsiya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involyutsionnyih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izmeneniy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sochetannom</w:t>
            </w:r>
            <w:proofErr w:type="spellEnd"/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primenenii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zamestitelnoy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gormonalnoy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terapii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topicheskih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fitoestrogenov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[Correction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of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involutional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skin changes with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combined use of hormone replacement therapy and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topical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phytoestrogen]. Extended abstract of PhD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dissertation. Russian State Medica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 of Russian Public Health. Moscow, 2008.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Fedorova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VN,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Faustova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EE,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Kononetc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OA,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Faustov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EV.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Obzor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primeneniia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mekhanicheskikh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akusticheskikh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svoistv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v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meditcine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[Overview of the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application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of mechanical acoustic properties of the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skin in medicine].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Problemy</w:t>
            </w:r>
            <w:proofErr w:type="spellEnd"/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zhenskogo</w:t>
            </w:r>
            <w:proofErr w:type="spellEnd"/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zdorovia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2010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;5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(3):79–82.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Smirnova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IO.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Funktcionalnaia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morfologiia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stareniia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[Functional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morphology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of skin aging].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Uspekhi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gerontologii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2004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;13:44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–51.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Tcepkolenko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VA.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Sovremennaia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kontceptciia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korrektcii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stareniia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kozhi</w:t>
            </w:r>
            <w:proofErr w:type="spellEnd"/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[Modern concept of aging skin correction].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Vestnik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Esteticheskoi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Meditciny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2014;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13(1):12–19.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Tcepkolenko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VA,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Tcepkolenko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AV.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Neofibrolifting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novyi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algoritm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primeneniia</w:t>
            </w:r>
            <w:proofErr w:type="spellEnd"/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autofibroblastov</w:t>
            </w:r>
            <w:proofErr w:type="spellEnd"/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Neofibrolyfting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is a new algorithm for the use of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autofibroblasts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].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KOSMETIK international.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2015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;2:67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–71.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Vogt M, et al. A New High Frequency Ultrasound Skin Imaging System: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 Imaging Properties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Clinical in Vivo Results. Acoustical Imaging. 2007:137–144.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doi:10.1007/1–4020–5721–0_16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Cua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AB, Wilhelm K &amp;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Maibach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H. Frictional properties of human skin: relation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to age, sex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and anatomical region, stratum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corneum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hydration and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transepidermal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loss. British Journal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of Dermatology. 2006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;123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(4):473–479.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doi:10.1111/j.1365–2133.1990.tb01452.x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Dumas M,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Sadick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NS, Noblesse E, Juan M,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Lachmann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-Weber N,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Boury-Jamot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M,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Sougrat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R,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Verbavatz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JM,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Schnebert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S,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Bonté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F. Hydrating skin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by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stimulating biosynthesis of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aquaporins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J Drugs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Dermatol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. 2007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;6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(6):20–24.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An S, et al. Kinetin Improves Barrier Function of the Skin by Modulating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Keratinocyte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Differentiation Markers. Annals of Dermatology. 2017</w:t>
            </w:r>
            <w:proofErr w:type="gram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;29</w:t>
            </w:r>
            <w:proofErr w:type="gram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(1):6. </w:t>
            </w:r>
          </w:p>
          <w:p w:rsidR="00083D31" w:rsidRP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doi:10.5021/ad.2017.29.1.6</w:t>
            </w:r>
          </w:p>
          <w:p w:rsidR="00083D31" w:rsidRDefault="00083D31" w:rsidP="00083D31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De Luca C, et al. Skin </w:t>
            </w:r>
            <w:proofErr w:type="spellStart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Antiageing</w:t>
            </w:r>
            <w:proofErr w:type="spellEnd"/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and Systemic Redox Effects of 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Supplementation with Marine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Collagen Peptides and Plant-Derived Antioxidants:</w:t>
            </w:r>
          </w:p>
          <w:p w:rsidR="00083D31" w:rsidRDefault="00083D31" w:rsidP="00083D3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 A Single-Blind Case-Control Clinical Study. Oxidative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 xml:space="preserve">Medicine and Cellular </w:t>
            </w:r>
          </w:p>
          <w:p w:rsidR="00BB1F4A" w:rsidRPr="008169B9" w:rsidRDefault="00083D31" w:rsidP="00083D31">
            <w:pPr>
              <w:pStyle w:val="a3"/>
              <w:rPr>
                <w:lang w:val="en-US" w:eastAsia="ru-RU"/>
              </w:rPr>
            </w:pPr>
            <w:r w:rsidRPr="00083D31">
              <w:rPr>
                <w:rFonts w:ascii="Arial" w:hAnsi="Arial" w:cs="Arial"/>
                <w:sz w:val="20"/>
                <w:szCs w:val="20"/>
                <w:lang w:val="en-US"/>
              </w:rPr>
              <w:t>Longevity. 2016:1–14. doi:10.1155/2016/4389410</w:t>
            </w:r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lastRenderedPageBreak/>
              <w:t>Publication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of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the</w:t>
            </w:r>
            <w:proofErr w:type="spellEnd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article</w:t>
            </w:r>
            <w:proofErr w:type="spellEnd"/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«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DERMATOLOGY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 xml:space="preserve"> </w:t>
            </w:r>
            <w:r w:rsidRPr="00391A7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AND VENEREOLOGY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» №2(8</w:t>
            </w:r>
            <w:r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4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), 2019 year, 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  <w:r w:rsidR="00083D3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7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  <w:r w:rsidR="00083D31">
              <w:rPr>
                <w:rFonts w:ascii="Arial" w:eastAsia="Times New Roman" w:hAnsi="Arial" w:cs="Arial"/>
                <w:sz w:val="19"/>
                <w:szCs w:val="19"/>
                <w:lang w:val="uk-UA" w:eastAsia="ru-RU"/>
              </w:rPr>
              <w:t>30</w:t>
            </w: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pages,</w:t>
            </w:r>
          </w:p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618F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index UDK </w:t>
            </w:r>
            <w:r w:rsidR="00083D31" w:rsidRPr="00083D31">
              <w:rPr>
                <w:rFonts w:ascii="Arial" w:eastAsia="Times New Roman" w:hAnsi="Arial" w:cs="Arial"/>
                <w:i/>
                <w:iCs/>
                <w:sz w:val="19"/>
                <w:szCs w:val="19"/>
                <w:lang w:val="en-US" w:eastAsia="ru-RU"/>
              </w:rPr>
              <w:t>616.5–043.92–091/ – 092–072</w:t>
            </w:r>
          </w:p>
        </w:tc>
      </w:tr>
      <w:tr w:rsidR="00BB1F4A" w:rsidRPr="0024618F" w:rsidTr="001B2844">
        <w:tc>
          <w:tcPr>
            <w:tcW w:w="2100" w:type="dxa"/>
            <w:tcBorders>
              <w:bottom w:val="single" w:sz="6" w:space="0" w:color="A8A8A8"/>
              <w:right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1F4A" w:rsidRPr="0024618F" w:rsidRDefault="00BB1F4A" w:rsidP="001B28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24618F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DOI</w:t>
            </w:r>
          </w:p>
        </w:tc>
        <w:tc>
          <w:tcPr>
            <w:tcW w:w="0" w:type="auto"/>
            <w:tcBorders>
              <w:bottom w:val="single" w:sz="6" w:space="0" w:color="A8A8A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B1F4A" w:rsidRPr="0024618F" w:rsidRDefault="00083D31" w:rsidP="001B284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83D3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10.33743/2308-1066-2019-2-27-30</w:t>
            </w:r>
          </w:p>
        </w:tc>
      </w:tr>
    </w:tbl>
    <w:p w:rsidR="00BB1F4A" w:rsidRDefault="00BB1F4A" w:rsidP="00BB1F4A"/>
    <w:p w:rsidR="00DF51AE" w:rsidRPr="00BB1F4A" w:rsidRDefault="00DF51AE">
      <w:pPr>
        <w:rPr>
          <w:lang w:val="uk-UA"/>
        </w:rPr>
      </w:pPr>
    </w:p>
    <w:sectPr w:rsidR="00DF51AE" w:rsidRPr="00BB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40F"/>
    <w:multiLevelType w:val="hybridMultilevel"/>
    <w:tmpl w:val="C33C4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4A"/>
    <w:rsid w:val="00083D31"/>
    <w:rsid w:val="00A71E3C"/>
    <w:rsid w:val="00BB1F4A"/>
    <w:rsid w:val="00D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</dc:creator>
  <cp:lastModifiedBy>Кондакова</cp:lastModifiedBy>
  <cp:revision>1</cp:revision>
  <dcterms:created xsi:type="dcterms:W3CDTF">2019-08-08T09:40:00Z</dcterms:created>
  <dcterms:modified xsi:type="dcterms:W3CDTF">2019-08-08T10:10:00Z</dcterms:modified>
</cp:coreProperties>
</file>